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25</w:t>
      </w:r>
    </w:p>
    <w:p>
      <w:r>
        <w:t>Bundesgericht (BGE), 1977-03-24, DE</w:t>
      </w:r>
    </w:p>
    <w:p>
      <w:r>
        <w:rPr>
          <w:b/>
        </w:rPr>
        <w:t xml:space="preserve">Quelle: </w:t>
      </w:r>
      <w:r>
        <w:t>https://mcp.opencaselaw.ch/entscheid/bge_103 V 25</w:t>
      </w:r>
    </w:p>
    <w:p>
      <w:r>
        <w:t>FR: ATF 103 V 25</w:t>
      </w:r>
    </w:p>
    <w:p>
      <w:r>
        <w:t>IT: DTF 103 V 25</w:t>
      </w:r>
    </w:p>
    <w:p>
      <w:pPr>
        <w:pStyle w:val="Heading2"/>
      </w:pPr>
      <w:r>
        <w:t>Regeste</w:t>
      </w:r>
    </w:p>
    <w:p>
      <w:r>
        <w:t>Regeste Art. 1 Abs. 1 und Abs. 4 lit. c und d ELV. Die gesonderte Berechnung der Ergänzungsleistung bei faktisch getrennt lebenden Ehegatten setzt eine Änderung der wirtschaftlichen Verhältnisse unter den Ehegatten voraus.</w:t>
      </w:r>
    </w:p>
    <w:p>
      <w:pPr>
        <w:pStyle w:val="Heading2"/>
      </w:pPr>
      <w:r>
        <w:t>Erwägungen</w:t>
      </w:r>
    </w:p>
    <w:p>
      <w:r>
        <w:rPr>
          <w:b/>
        </w:rPr>
        <w:t>E. 1</w:t>
      </w:r>
    </w:p>
    <w:p>
      <w:r>
        <w:t>Das ELG enthält keine Bestimmungen über die Berechnung der Ergänzungsleistung im Falle der Ehetrennung. Art. 3 Abs. 6 ELG ermächtigt jedoch den Bundesrat, u.a. über die Zusammenrechnung der Einkommensgrenzen und die anrechenbaren Einkommen von Familiengliedern nähere Vorschriften zu erlassen. Gestützt hierauf bestimmt Art. 1 Abs. 1 ELV , dass bei Trennung der Ehe von Ehegatten, die beide rentenberechtigt sind, jedem von ihnen ein selbständiger Anspruch auf Ergänzungsleistung zusteht, wobei die massgebenden Einkommen gesondert berechnet Werden und je die für Alleinstehende geltende Einkommensgrenze angewandt wird. Gemäss Art. 1 Abs. 4 ELV gelten Ehegatten als getrennt lebend, wenn a) die Ehe gerichtlich getrennt ist oder b) eine Scheidungs- oder Trennungsklage anhängig ist oder c) eine tatsächliche Trennung mindestens 1 Jahr ohne Unterbruch gedauert hat oder d) glaubhaft gemacht wird, dass eine tatsächliche Trennung längere Zeit dauern wird.</w:t>
      </w:r>
    </w:p>
    <w:p>
      <w:r>
        <w:rPr>
          <w:b/>
        </w:rPr>
        <w:t>E. 2</w:t>
      </w:r>
    </w:p>
    <w:p>
      <w:r>
        <w:t>Es steht fest, dass die Eheleute Weber weder gerichtlich getrennt sind noch in einem Scheidungs- oder Trennungsverfahren stehen; es spricht auch nichts für eine richterlich geregelte Aufhebung des gemeinsamen Haushaltes ( Art. 170 ZGB ). Ausgleichskasse und Vorinstanz erachten jedoch den Tatbestand einer faktischen Trennung der Ehe im Sinne von Art. 1 Abs. 4 lit. c und d ELV als gegeben. a) X. und Y. Weber wohnen seit September 1974 im Betagtenheim Z., die Ehefrau in der Krankenabteilung an der ...strasse und der Ehemann in der Alterssiedlung an der ...strasse. Die Ehegatten leben innerhalb des gleichen, anscheinend mehrere selbständige Abteilungen umfassenden Heimes und sind lediglich deshalb getrennt untergebracht, weil die Ehefrau zufolge Krankheit einer besonderen Pflege bedarf. Eine faktische Trennung liegt nicht vor, wenn beide Ehegatten gemeinsam in einem Heim wohnen. Die von der Ausgleichskasse in der erstinstanzlichen Vernehmlassung erwähnte Verwaltungsweisung (Rz. 150 der EL-Mitteilungen Nr. 40 vom 22. Juli 1975), wonach es den kantonalen EL-Durchführungsstellen BGE 103 V 25 S. 28 freigestellt ist, in solchen Fällen die getrennte Berechnung der Ergänzungsleistung vorzunehmen, lässt sich in dieser Form mit der Verordnungsbestimmung (und auch mit dem Grundsatz der Rechtsgleichheit) nicht vereinbaren (vgl. hiezu auch Rz. 126 des ab 1. Januar 1977 gültigen Nachtrages 3 zur EL-Wegleitung). Im vorliegenden Fall verhält es sich insofern anders, als die Ehegatten zwar im gleichen Heim wohnen, intern jedoch getrennt sind. Es ist zu prüfen, ob dieser Umstand einer faktischen Trennung im Sinne von Art. 1 Abs. 4 lit. c und d ELV gleichkommt. b) Mit den Ergänzungsleistungen soll bedürftigen Rentnern der AHV sowie Bezügern von Renten und Hilflosenentschädigungen der Invalidenversicherung ein bestimmtes Mindesteinkommen garantiert werden. Dieser Zweckbestimmung entsprechend liegt dem Gesetzes- und Verordnungsrecht im wesentlichen eine wirtschaftliche Betrachtungsweise zugrunde, welcher auch im Rahmen von Art. 1 ELV Rechnung zu tragen ist. Für die getrennte Berechnung der Ergänzungsleistung ist deshalb nicht die Tatsache des Getrenntlebens als solche, sondern die sich hieraus ergebende Änderung der wirtschaftlichen Verhältnisse massgebend. Ohne eine solche Änderung lässt sich eine gesonderte Berechnung der Ergänzungsleistung trotz faktischer Trennung der Ehegatten nicht rechtfertigen. Im vorliegenden Fall bestehen keine Anhaltspunkte dafür, dass sich die finanziellen Beziehungen unter den Ehegatten mit dem Übertritt in das Betagtenheim geändert hätten. Den Akten ist zu entnehmen, dass der Ehemann wie bisher die ganze Ehepaar-Altersrente bezieht und für die Aufenthaltskosten beider Ehegatten im Heim aufkommt. Die Ehefrau verfügt über kein eigenes Einkommen und Vermögen; auch haben die Ehegatten keine mit Bezug auf die Ergänzungsleistung relevanten güterrechtlichen Vereinbarungen getroffen. Dass über die Aufenthaltskosten im Betagtenheim beiden Ehegatten getrennt Rechnung gestellt wird, ist unerheblich. Auch ist der Umstand, dass sich aus der internen Trennung zusätzliche Kosten ergeben, nicht entscheidend; diese sind im Rahmen der gesetzlichen Abzüge vom Einkommen ( Art. 3 Abs. 4 lit. e und Art. 4 Abs. 1 lit. b ELG ) zu berücksichtigen. Im übrigen hat sich an den wirtschaftlichen Gegebenheiten nichts Wesentliches geändert. Vielmehr besteht die bisherige wirtschaftliche Einheit der Ehe ungeachtet des getrennten BGE 103 V 25 S. 29 Aufenthaltes im Betagtenheim weiter. Die für die Annahme einer getrennten Ehe im Sinne von Art. 1 ELV massgebenden tatsächlichen Voraussetzungen sind daher nicht erfüllt.</w:t>
      </w:r>
    </w:p>
    <w:p>
      <w:r>
        <w:rPr>
          <w:b/>
        </w:rPr>
        <w:t>E. 3</w:t>
      </w:r>
    </w:p>
    <w:p>
      <w:r>
        <w:t>Nach dem Gesagten ist die Ergänzungsleistung nach den für zusammenlebende Ehegatten geltenden Regeln zu berechnen. Auf Grund der Akten ist anzunehmen, dass sich dabei eine Ergänzungsleistung in dem für Ehepaare geltenden Höchstbetrag gemäss Art. 2 Abs. 1 ELG in Verbindung mit Art. 3 Abs. 1 des kantonalen Dekretes über die Ergänzungsleistungen ergibt. Es wird indessen zunächst Sache der Ausgleichskasse sein, hierüber verfügungsweise neu zu befinden. Dispositiv Demnach erkennt das Eidg. Versicherungsgericht: Die Verwaltungsgerichtsbeschwerde wird in dem Sinne gutgeheissen, dass der vorinstanzliche Entscheid und die Kassenverfügungen vom 16. und 17. Januar 1975 aufgehoben werden und die Sache zu neuer Verfügung im Sinne der Erwägungen an die Ausgleichskasse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